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7A12CB" w14:paraId="1491D51B" wp14:textId="541866AD">
      <w:pPr>
        <w:pStyle w:val="Heading1"/>
        <w:keepNext w:val="1"/>
        <w:keepLines w:val="1"/>
        <w:spacing w:before="240" w:after="240" w:line="312" w:lineRule="auto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FF3366"/>
          <w:sz w:val="40"/>
          <w:szCs w:val="40"/>
          <w:lang w:val="en-GB"/>
        </w:rPr>
      </w:pPr>
      <w:r w:rsidRPr="537A12CB" w:rsidR="21AD11E3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FF3366"/>
          <w:sz w:val="40"/>
          <w:szCs w:val="40"/>
          <w:lang w:val="en-GB"/>
        </w:rPr>
        <w:t>Student learning experience (extended)</w:t>
      </w:r>
    </w:p>
    <w:p xmlns:wp14="http://schemas.microsoft.com/office/word/2010/wordml" w:rsidP="537A12CB" w14:paraId="4DE2BA7D" wp14:textId="044F8D37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62AB591A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Curriculum</w:t>
      </w:r>
    </w:p>
    <w:p xmlns:wp14="http://schemas.microsoft.com/office/word/2010/wordml" w:rsidP="537A12CB" w14:paraId="611DB70B" wp14:textId="3D85C83B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This describes everything that you learn within the course, including: </w:t>
      </w:r>
    </w:p>
    <w:p xmlns:wp14="http://schemas.microsoft.com/office/word/2010/wordml" w:rsidP="537A12CB" w14:paraId="6F490656" wp14:textId="2BFB0CE3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Course content </w:t>
      </w:r>
    </w:p>
    <w:p xmlns:wp14="http://schemas.microsoft.com/office/word/2010/wordml" w:rsidP="537A12CB" w14:paraId="50A59B21" wp14:textId="456793ED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learning objectives </w:t>
      </w:r>
    </w:p>
    <w:p xmlns:wp14="http://schemas.microsoft.com/office/word/2010/wordml" w:rsidP="537A12CB" w14:paraId="0CB29EA9" wp14:textId="2E11D33D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Optional and compulsory modules </w:t>
      </w:r>
    </w:p>
    <w:p xmlns:wp14="http://schemas.microsoft.com/office/word/2010/wordml" w:rsidP="537A12CB" w14:paraId="0D8052F4" wp14:textId="027183D9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Reading lists </w:t>
      </w:r>
    </w:p>
    <w:p xmlns:wp14="http://schemas.microsoft.com/office/word/2010/wordml" w:rsidP="537A12CB" w14:paraId="53B1A706" wp14:textId="19278D5D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Handbooks </w:t>
      </w:r>
    </w:p>
    <w:p xmlns:wp14="http://schemas.microsoft.com/office/word/2010/wordml" w:rsidP="537A12CB" w14:paraId="1264DA97" wp14:textId="6E0A6F84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Opportunities to study abroad </w:t>
      </w:r>
    </w:p>
    <w:p xmlns:wp14="http://schemas.microsoft.com/office/word/2010/wordml" w:rsidP="537A12CB" w14:paraId="58EADB22" wp14:textId="0A768535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Placements </w:t>
      </w:r>
    </w:p>
    <w:p xmlns:wp14="http://schemas.microsoft.com/office/word/2010/wordml" w:rsidP="537A12CB" w14:paraId="160FEBBE" wp14:textId="409B76F5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3C1B6771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Learning</w:t>
      </w:r>
      <w:r w:rsidRPr="537A12CB" w:rsidR="3C1B6771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 resources</w:t>
      </w:r>
    </w:p>
    <w:p xmlns:wp14="http://schemas.microsoft.com/office/word/2010/wordml" w:rsidP="537A12CB" w14:paraId="65DA4A1D" wp14:textId="14FDC096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These are the materials and equipment to support learning, including: </w:t>
      </w:r>
    </w:p>
    <w:p xmlns:wp14="http://schemas.microsoft.com/office/word/2010/wordml" w:rsidP="537A12CB" w14:paraId="46061D2A" wp14:textId="2597B0E9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Classroom resources </w:t>
      </w:r>
    </w:p>
    <w:p xmlns:wp14="http://schemas.microsoft.com/office/word/2010/wordml" w:rsidP="537A12CB" w14:paraId="5AEF5A49" wp14:textId="170D0121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Technical and lab equipment </w:t>
      </w:r>
    </w:p>
    <w:p xmlns:wp14="http://schemas.microsoft.com/office/word/2010/wordml" w:rsidP="537A12CB" w14:paraId="4C574132" wp14:textId="7A880A5B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Library </w:t>
      </w:r>
    </w:p>
    <w:p xmlns:wp14="http://schemas.microsoft.com/office/word/2010/wordml" w:rsidP="537A12CB" w14:paraId="1686A8EC" wp14:textId="76964A24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>IT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resources </w:t>
      </w:r>
    </w:p>
    <w:p xmlns:wp14="http://schemas.microsoft.com/office/word/2010/wordml" w:rsidP="537A12CB" w14:paraId="2BF4E7AE" wp14:textId="7B567C2B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VLE </w:t>
      </w:r>
    </w:p>
    <w:p xmlns:wp14="http://schemas.microsoft.com/office/word/2010/wordml" w:rsidP="537A12CB" w14:paraId="2E5D2D8F" wp14:textId="6D8E2ABF">
      <w:pPr>
        <w:pStyle w:val="ListParagraph"/>
        <w:numPr>
          <w:ilvl w:val="0"/>
          <w:numId w:val="3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Land and outdoor facilities </w:t>
      </w:r>
    </w:p>
    <w:p xmlns:wp14="http://schemas.microsoft.com/office/word/2010/wordml" w:rsidP="537A12CB" w14:paraId="7A641A30" wp14:textId="3FA007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7A12CB" w14:paraId="5CDE18D8" wp14:textId="503C2774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12C847AD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Learning and teaching process</w:t>
      </w:r>
    </w:p>
    <w:p xmlns:wp14="http://schemas.microsoft.com/office/word/2010/wordml" w:rsidP="537A12CB" w14:paraId="08D496FA" wp14:textId="7B53F5D1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This refers to the methods used to help you learn, including: </w:t>
      </w:r>
    </w:p>
    <w:p xmlns:wp14="http://schemas.microsoft.com/office/word/2010/wordml" w:rsidP="537A12CB" w14:paraId="0282345C" wp14:textId="5620C2D6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Teaching methods and styles </w:t>
      </w:r>
    </w:p>
    <w:p xmlns:wp14="http://schemas.microsoft.com/office/word/2010/wordml" w:rsidP="537A12CB" w14:paraId="557BD0DC" wp14:textId="41C9B010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Amount of contact time </w:t>
      </w:r>
    </w:p>
    <w:p xmlns:wp14="http://schemas.microsoft.com/office/word/2010/wordml" w:rsidP="537A12CB" w14:paraId="2C7E3172" wp14:textId="54973398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Independent and group work </w:t>
      </w:r>
    </w:p>
    <w:p xmlns:wp14="http://schemas.microsoft.com/office/word/2010/wordml" w:rsidP="537A12CB" w14:paraId="12887E1F" wp14:textId="50434A36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Class sizes </w:t>
      </w:r>
    </w:p>
    <w:p xmlns:wp14="http://schemas.microsoft.com/office/word/2010/wordml" w:rsidP="537A12CB" w14:paraId="583C63E0" wp14:textId="3FCC3615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Staff training and 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>expertise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37A12CB" w14:paraId="3BDFA99B" wp14:textId="18965E3A">
      <w:pPr>
        <w:pStyle w:val="ListParagraph"/>
        <w:numPr>
          <w:ilvl w:val="0"/>
          <w:numId w:val="4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Accessibility and suitability of teaching methods </w:t>
      </w:r>
    </w:p>
    <w:p xmlns:wp14="http://schemas.microsoft.com/office/word/2010/wordml" w:rsidP="537A12CB" w14:paraId="2EC96FC0" wp14:textId="158E4E6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7A12CB" w14:paraId="47556ED8" wp14:textId="5C172ED5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0F24DF64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Assessment and feedback</w:t>
      </w:r>
    </w:p>
    <w:p xmlns:wp14="http://schemas.microsoft.com/office/word/2010/wordml" w:rsidP="537A12CB" w14:paraId="256E73C9" wp14:textId="4D9177A2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These include: </w:t>
      </w:r>
    </w:p>
    <w:p xmlns:wp14="http://schemas.microsoft.com/office/word/2010/wordml" w:rsidP="537A12CB" w14:paraId="0A11C38F" wp14:textId="6844BB0F">
      <w:pPr>
        <w:pStyle w:val="ListParagraph"/>
        <w:numPr>
          <w:ilvl w:val="0"/>
          <w:numId w:val="5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Marking criteria </w:t>
      </w:r>
    </w:p>
    <w:p xmlns:wp14="http://schemas.microsoft.com/office/word/2010/wordml" w:rsidP="537A12CB" w14:paraId="3D90A29B" wp14:textId="6C409A84">
      <w:pPr>
        <w:pStyle w:val="ListParagraph"/>
        <w:numPr>
          <w:ilvl w:val="0"/>
          <w:numId w:val="5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Consistency of marking </w:t>
      </w:r>
    </w:p>
    <w:p xmlns:wp14="http://schemas.microsoft.com/office/word/2010/wordml" w:rsidP="537A12CB" w14:paraId="53B77236" wp14:textId="1889E5F4">
      <w:pPr>
        <w:pStyle w:val="ListParagraph"/>
        <w:numPr>
          <w:ilvl w:val="0"/>
          <w:numId w:val="5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Number, 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>frequency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type of assessments </w:t>
      </w:r>
    </w:p>
    <w:p xmlns:wp14="http://schemas.microsoft.com/office/word/2010/wordml" w:rsidP="537A12CB" w14:paraId="4BE285BC" wp14:textId="1763E49E">
      <w:pPr>
        <w:pStyle w:val="ListParagraph"/>
        <w:numPr>
          <w:ilvl w:val="0"/>
          <w:numId w:val="5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Accessibility and suitability of assessment methods </w:t>
      </w:r>
    </w:p>
    <w:p xmlns:wp14="http://schemas.microsoft.com/office/word/2010/wordml" w:rsidP="537A12CB" w14:paraId="7D8F7615" wp14:textId="574AC8B9">
      <w:pPr>
        <w:pStyle w:val="ListParagraph"/>
        <w:numPr>
          <w:ilvl w:val="0"/>
          <w:numId w:val="5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Quality and promptness of feedback </w:t>
      </w:r>
    </w:p>
    <w:p xmlns:wp14="http://schemas.microsoft.com/office/word/2010/wordml" w:rsidP="537A12CB" w14:paraId="1941711F" wp14:textId="5C2A0F3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7A12CB" w14:paraId="7FA97880" wp14:textId="3A473866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7AC04CA2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student progression and achievement</w:t>
      </w:r>
    </w:p>
    <w:p xmlns:wp14="http://schemas.microsoft.com/office/word/2010/wordml" w:rsidP="537A12CB" w14:paraId="04FDC2C2" wp14:textId="63C85E69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These include: </w:t>
      </w:r>
    </w:p>
    <w:p xmlns:wp14="http://schemas.microsoft.com/office/word/2010/wordml" w:rsidP="537A12CB" w14:paraId="1E1B1A2F" wp14:textId="74B1CEF8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Information about progress within the course </w:t>
      </w:r>
    </w:p>
    <w:p xmlns:wp14="http://schemas.microsoft.com/office/word/2010/wordml" w:rsidP="537A12CB" w14:paraId="6DFF464E" wp14:textId="3F1B353A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Transitions between courses, and the overall learner journey </w:t>
      </w:r>
    </w:p>
    <w:p xmlns:wp14="http://schemas.microsoft.com/office/word/2010/wordml" w:rsidP="537A12CB" w14:paraId="2B5608D1" wp14:textId="239D2FFE">
      <w:pPr>
        <w:pStyle w:val="ListParagraph"/>
        <w:numPr>
          <w:ilvl w:val="0"/>
          <w:numId w:val="6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Onward opportunities and pathways </w:t>
      </w:r>
    </w:p>
    <w:p xmlns:wp14="http://schemas.microsoft.com/office/word/2010/wordml" w:rsidP="537A12CB" w14:paraId="325399CB" wp14:textId="6BD8993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7A12CB" w14:paraId="7FDC32A1" wp14:textId="3C15F2D0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4DC9C495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Guidance</w:t>
      </w:r>
      <w:r w:rsidRPr="537A12CB" w:rsidR="4DC9C495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 xml:space="preserve"> and support</w:t>
      </w:r>
    </w:p>
    <w:p xmlns:wp14="http://schemas.microsoft.com/office/word/2010/wordml" w:rsidP="537A12CB" w14:paraId="0F7840F8" wp14:textId="38C60FBF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These include: </w:t>
      </w:r>
    </w:p>
    <w:p xmlns:wp14="http://schemas.microsoft.com/office/word/2010/wordml" w:rsidP="537A12CB" w14:paraId="057766AD" wp14:textId="572CF137">
      <w:pPr>
        <w:pStyle w:val="ListParagraph"/>
        <w:numPr>
          <w:ilvl w:val="0"/>
          <w:numId w:val="7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Clear guidance on what is expected of students on the course </w:t>
      </w:r>
    </w:p>
    <w:p xmlns:wp14="http://schemas.microsoft.com/office/word/2010/wordml" w:rsidP="537A12CB" w14:paraId="107261D6" wp14:textId="49B251D9">
      <w:pPr>
        <w:pStyle w:val="ListParagraph"/>
        <w:numPr>
          <w:ilvl w:val="0"/>
          <w:numId w:val="7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Academic support </w:t>
      </w:r>
    </w:p>
    <w:p xmlns:wp14="http://schemas.microsoft.com/office/word/2010/wordml" w:rsidP="537A12CB" w14:paraId="0BBD8C29" wp14:textId="2307F2BC">
      <w:pPr>
        <w:pStyle w:val="ListParagraph"/>
        <w:numPr>
          <w:ilvl w:val="0"/>
          <w:numId w:val="7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Careers advice </w:t>
      </w:r>
    </w:p>
    <w:p xmlns:wp14="http://schemas.microsoft.com/office/word/2010/wordml" w:rsidP="537A12CB" w14:paraId="6B7F0508" wp14:textId="2BBD8AA6">
      <w:pPr>
        <w:pStyle w:val="ListParagraph"/>
        <w:numPr>
          <w:ilvl w:val="0"/>
          <w:numId w:val="7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Personal support </w:t>
      </w:r>
    </w:p>
    <w:p xmlns:wp14="http://schemas.microsoft.com/office/word/2010/wordml" w:rsidP="537A12CB" w14:paraId="06A8BDD5" wp14:textId="74BD999E">
      <w:pPr>
        <w:pStyle w:val="ListParagraph"/>
        <w:numPr>
          <w:ilvl w:val="0"/>
          <w:numId w:val="7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Counselling </w:t>
      </w:r>
    </w:p>
    <w:p xmlns:wp14="http://schemas.microsoft.com/office/word/2010/wordml" w:rsidP="537A12CB" w14:paraId="0EDDF1C2" wp14:textId="1EC22DC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537A12CB" w14:paraId="69810D3E" wp14:textId="04115B17">
      <w:pPr>
        <w:pStyle w:val="Normal"/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</w:pPr>
      <w:r w:rsidRPr="537A12CB" w:rsidR="04BB52DD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36D1DE"/>
          <w:sz w:val="32"/>
          <w:szCs w:val="32"/>
          <w:lang w:val="en-GB"/>
        </w:rPr>
        <w:t>Quality enhancement and assurance</w:t>
      </w:r>
    </w:p>
    <w:p xmlns:wp14="http://schemas.microsoft.com/office/word/2010/wordml" w:rsidP="537A12CB" w14:paraId="23A7DC5E" wp14:textId="295E25B7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This area relates to processes that help the institution achieve and 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>maintain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>high standards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 learning and teaching. 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>Reps and their feedback are a key part of this process.</w:t>
      </w: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This area includes: </w:t>
      </w:r>
    </w:p>
    <w:p xmlns:wp14="http://schemas.microsoft.com/office/word/2010/wordml" w:rsidP="537A12CB" w14:paraId="48A3BCF2" wp14:textId="43C0F30F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Institution-wide conversations about enhancement </w:t>
      </w:r>
    </w:p>
    <w:p xmlns:wp14="http://schemas.microsoft.com/office/word/2010/wordml" w:rsidP="537A12CB" w14:paraId="0049BA69" wp14:textId="2BEFE7AE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External review </w:t>
      </w:r>
    </w:p>
    <w:p xmlns:wp14="http://schemas.microsoft.com/office/word/2010/wordml" w:rsidP="537A12CB" w14:paraId="0098EA37" wp14:textId="30875EA5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Institution-led review </w:t>
      </w:r>
    </w:p>
    <w:p xmlns:wp14="http://schemas.microsoft.com/office/word/2010/wordml" w:rsidP="537A12CB" w14:paraId="11CBCB33" wp14:textId="5C2DB1EA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Staff appraisal systems </w:t>
      </w:r>
    </w:p>
    <w:p xmlns:wp14="http://schemas.microsoft.com/office/word/2010/wordml" w:rsidP="537A12CB" w14:paraId="4F31CE40" wp14:textId="1638871A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Survey development </w:t>
      </w:r>
    </w:p>
    <w:p xmlns:wp14="http://schemas.microsoft.com/office/word/2010/wordml" w:rsidP="537A12CB" w14:paraId="5984CFCC" wp14:textId="62F27A25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Interpretation of student feedback </w:t>
      </w:r>
    </w:p>
    <w:p xmlns:wp14="http://schemas.microsoft.com/office/word/2010/wordml" w:rsidP="537A12CB" w14:paraId="2C078E63" wp14:textId="06FFCDEC">
      <w:pPr>
        <w:pStyle w:val="ListParagraph"/>
        <w:numPr>
          <w:ilvl w:val="0"/>
          <w:numId w:val="8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37A12CB" w:rsidR="326EDA8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Actions following student </w:t>
      </w:r>
      <w:r w:rsidRPr="537A12CB" w:rsidR="4B1A97B4">
        <w:rPr>
          <w:rFonts w:ascii="Arial" w:hAnsi="Arial" w:eastAsia="Arial" w:cs="Arial"/>
          <w:noProof w:val="0"/>
          <w:sz w:val="22"/>
          <w:szCs w:val="22"/>
          <w:lang w:val="en-US"/>
        </w:rPr>
        <w:t>feedback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f39a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5f8c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71f6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b548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2cae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591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ea4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fdb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35C7D4"/>
    <w:rsid w:val="014E3D27"/>
    <w:rsid w:val="0485DDE9"/>
    <w:rsid w:val="04BB52DD"/>
    <w:rsid w:val="0F075AC5"/>
    <w:rsid w:val="0F24DF64"/>
    <w:rsid w:val="10A32B26"/>
    <w:rsid w:val="12C847AD"/>
    <w:rsid w:val="18AE3D0B"/>
    <w:rsid w:val="1BE5DDCD"/>
    <w:rsid w:val="1D95E8F5"/>
    <w:rsid w:val="20B94EF0"/>
    <w:rsid w:val="21AD11E3"/>
    <w:rsid w:val="23F0EFB2"/>
    <w:rsid w:val="24CB8A48"/>
    <w:rsid w:val="26E9E43F"/>
    <w:rsid w:val="2B3ACBCC"/>
    <w:rsid w:val="326EDA83"/>
    <w:rsid w:val="38194ED4"/>
    <w:rsid w:val="3B58DD1C"/>
    <w:rsid w:val="3C1B6771"/>
    <w:rsid w:val="44FFBF62"/>
    <w:rsid w:val="4B1A97B4"/>
    <w:rsid w:val="4DC9C495"/>
    <w:rsid w:val="537A12CB"/>
    <w:rsid w:val="56F57B8C"/>
    <w:rsid w:val="58300573"/>
    <w:rsid w:val="59CBD5D4"/>
    <w:rsid w:val="5C5FBF46"/>
    <w:rsid w:val="62AB591A"/>
    <w:rsid w:val="688DBD5C"/>
    <w:rsid w:val="6F35C7D4"/>
    <w:rsid w:val="7AC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C7D4"/>
  <w15:chartTrackingRefBased/>
  <w15:docId w15:val="{7F89C891-F404-431F-857D-D2DB5F8438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55e168854745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2023-03-21T16:16:31.6533509Z</dcterms:created>
  <dcterms:modified xsi:type="dcterms:W3CDTF">2023-03-21T16:41:44.1263825Z</dcterms:modified>
  <dc:creator>Sanchez, Alba</dc:creator>
  <lastModifiedBy>Sanchez, Alba</lastModifiedBy>
</coreProperties>
</file>